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86" w:rsidRPr="00A233CE" w:rsidRDefault="00B13586" w:rsidP="00B135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ЗАКОНОДАТЕЛЬНЫХ НОРМ, РЕГУЛИРУЮЩИХ ПОРЯДОК ОБЕСПЕЧЕНИЯ ПОСТРАДАВШИХ НА ПРОИЗВОДСТВЕ ТЕХНИЧЕСКИМИ СРЕДСТВАМИ РЕАБИЛИ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ТАЦИИ В СУДАХ ОБЩЕЙ ЮРИСДИКЦИИ</w:t>
      </w:r>
    </w:p>
    <w:p w:rsidR="00B13586" w:rsidRPr="00A233CE" w:rsidRDefault="00B13586" w:rsidP="00B13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Севастьянов </w:t>
      </w:r>
      <w:r w:rsidRPr="00A233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 Коробов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О.Н. Владимирова</w:t>
      </w:r>
      <w:r w:rsidRPr="00A233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К.В.</w:t>
      </w:r>
      <w:r w:rsidRPr="00A233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Вардосанидзе</w:t>
      </w:r>
      <w:r w:rsidRPr="00A233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B13586" w:rsidRPr="00A233CE" w:rsidRDefault="00B13586" w:rsidP="00B13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13586" w:rsidRPr="00A233CE" w:rsidRDefault="00B13586" w:rsidP="00B13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A2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учреждение дополнительного профессионального образования «Санкт-Петербургский  институт усовершенствования врачей-экспертов» Минтруда России </w:t>
      </w:r>
    </w:p>
    <w:p w:rsidR="00B13586" w:rsidRDefault="00B13586" w:rsidP="00B13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233C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233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Федеральное казенное учреждение «Главное бюро медико-социальной экспертизы по Санкт-Петербургу»</w:t>
      </w:r>
    </w:p>
    <w:p w:rsidR="00B13586" w:rsidRPr="00A233CE" w:rsidRDefault="00B13586" w:rsidP="00B13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13586" w:rsidRPr="00A233CE" w:rsidRDefault="00B13586" w:rsidP="00B1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«Санкт-Петербургский институт усовершенствования врачей-экспертов» Министерства труда и социальной защиты Российской Федерации на основании изучения 18 судебных решений и </w:t>
      </w:r>
      <w:proofErr w:type="spell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аппеляционных</w:t>
      </w:r>
      <w:proofErr w:type="spell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определений, вынесенных судами различных субъектов Российской Федерации за 2008-2013 годы, провёл анализ сложившейся правоприменительной практики по вопросам назначения и предоставления пострадавшим на производстве технических средств реабилитации.</w:t>
      </w:r>
    </w:p>
    <w:p w:rsidR="00B13586" w:rsidRPr="003E1709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вопросов связанных с обеспечением пострадавших на производстве техническими средствами реабилитации, не входящими в </w:t>
      </w:r>
      <w:hyperlink r:id="rId6" w:history="1">
        <w:r w:rsidRPr="00A233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</w:t>
        </w:r>
        <w:proofErr w:type="gramStart"/>
        <w:r w:rsidRPr="00A233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</w:t>
        </w:r>
      </w:hyperlink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№ 2347-р (далее - Федеральный перечень), суды руководствуются статьёй 33 «Положения об оплате дополнительных расходов на медицинскую, социальную и профессиональную реабилитацию застрахованных лиц, получивших повреждение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вследствие несчастных случаев на производстве и профессиональных заболеваний</w:t>
      </w:r>
      <w:r w:rsidR="003E1709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утверждённого постановлением П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Российской Федерации от 15.05.2006 № 286 в редакции постановления Правительства Российской Федерации от 27.10.2008 № 787, в которой указывается на то, что обеспечение пострадавшего на производстве техническими средствами реабилитации осуществляется </w:t>
      </w:r>
      <w:r w:rsidRPr="003E17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только исходя из Федерального перечня, но и сверх оного, если это предусмотрено </w:t>
      </w:r>
      <w:hyperlink r:id="rId7" w:history="1">
        <w:r w:rsidRPr="003E1709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программой</w:t>
        </w:r>
      </w:hyperlink>
      <w:r w:rsidRPr="003E17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реабилитации пострадавшего.</w:t>
      </w:r>
      <w:proofErr w:type="gramEnd"/>
    </w:p>
    <w:p w:rsidR="00B13586" w:rsidRPr="00A233CE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внесении в программу реабилитации пострадавшей, с установленным диагнозом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заболевании – «экзема хроническая распространённая», записи о нуждаемости в обеспечении автоматической стиральной машиной, судом страховщику было предписано обеспечить пострадавшую указанным изделием (оплатить понесённые расходы). В мотивировочной части решения суд ссылается на отсутствие в действующем законодательстве ограничений в части определения конкретного перечня изделий медицинского назначения и индивидуального ухода для застрахованных лиц, получивших повреждение здоровья вследствие несчастных случаев на производстве и профессиональных заболеваний. </w:t>
      </w:r>
    </w:p>
    <w:p w:rsidR="00B13586" w:rsidRPr="00A233CE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судом вопроса о необходимости внесения в 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 реабилитации технического средства реабилитации – «автоматические ворота для гаража с пультом дистанционного управления и сигнализацией» суд принял сторону бюро медико-социальной экспертизы ссылаясь на то, что, пострадавший по решению бюро МСЭ имеет право пользоваться посторонним бытовым уходом и в случае найма человека для постороннего ухода за истцом на данном лице будет лежать обязанность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открывания и закрывания ворот гаража, где хранится автомобиль принадлежащий истцу.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истца о том, что в соответствии с законодательством РФ сумма, выплачиваемая государством для оплаты услуг лица, осуществляющего уход, является незначительной (около 300 рублей в месяц) и не покроет предполагаемых расходов, также не приняты судом во внимание, поскольку в том случае, если стоимость услуг лица, осуществляющего посторонний уход будет превышать сумму, выплачиваемую для этих целей государством, за истцом будет сохранено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предъявления требований о взыскании разницы между стоимостью услуг лица, осуществляющего уход и суммой, выплачиваемой для этих целей государством к </w:t>
      </w:r>
      <w:proofErr w:type="spell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причинителю</w:t>
      </w:r>
      <w:proofErr w:type="spell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вреда.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данное решение не противоречит сущности бытового ухода, разъяснённой в Письме Минтруда РФ от 16.01.2001 № 305-АО, Минздрава РФ от 18.01.2001 № 2510/562-01-32, ФСС РФ от 18.01.2001 № 02-08/10-133П «Об определении нуждаемости пострадавших от несчастных случаев на производстве и профессиональных заболеваний в различных видах ухода и возмещении расходов на их осуществление». </w:t>
      </w:r>
      <w:proofErr w:type="gramEnd"/>
    </w:p>
    <w:p w:rsidR="00B13586" w:rsidRPr="00A233CE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Статьёй 8 федерального закона 125-ФЗ </w:t>
      </w:r>
      <w:r w:rsidRPr="00A23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обязательном социальном страховании от несчастных случаев на производстве и профессиональных заболеваний» (далее - Закон 125-ФЗ) 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страховое обеспечение в виде оплаты дополнительных расходов, связанных с медицинской, социальной и профессиональной реабилитацией застрахованного осуществляется </w:t>
      </w:r>
      <w:r w:rsidRPr="003E1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при наличии прямых последствий страхового случая.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суд</w:t>
      </w:r>
      <w:r w:rsidR="003E1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рассмотрев материалы дела и представленные сторонами доказательства, а также заключения экспертов пришёл к обоснованному выводу о том, что протезированию за счет средств обязательного социального страхования подлежат только те зубы истца, которые пострадали в результате производственной травмы, хотя пострадавший в суде настаивал на внесении в ПРП записи о необходимости протезирования верхней и нижней челюсти целиком.</w:t>
      </w:r>
      <w:proofErr w:type="gramEnd"/>
    </w:p>
    <w:p w:rsidR="00B13586" w:rsidRPr="003E1709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вступлением в силу федерального закона от 07.07.2003 №118-ФЗ такие виды возмещения как обеспечение пострадавших мягким инвентарём (постельными принадлежностями) и дополнительным питанием были отменены. На основании данной нормы страховщик требовал исключить указанные пункты из программы реабилитации пострадавшего, ранее получавшего данные виды возмещения. Рассматривая указанный иск,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что: «в статье 8 федерального закона №125-ФЗ говорится о том, какие реабилитационные мероприятия подлежат оплате за счёт средств обязательного страхования, но порядок оформления ПРП данным законом не регулируется.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ПРП предусмотрены разделы «Дополнительная 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помощь», «Дополнительное питание», «Лекарственные средства», и «Протезирование и обеспечение приспособлениями, необходимыми пострадавшему для трудовой деятельности и в быту, а также их ремонт», кроме того, в соответствии с частью 2 Конституции Российской Федерации, в Российской Федерации не должны издаваться законы, отменяющие или умаляющие права и свободы человека и гражданина.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вносимые законодательством изменения не могут быть направлены на уменьшение объёма социального обеспечения граждан, которым ранее государством гарантировалось обеспечение по страхованию, в том числе и виде обеспечения мягким инвентарём и дополнительным питанием, и которые на момент внесения соответствующих изменений не перестали быть нуждающимися в таких видах страхового обеспечения. Следовательно, при решении вопроса о заполнении разделов ПРП в части определения нуждаемости в дополнительном питании и мягком инвентаре (постельных принадлежностях) следует учитывать факт предоставления данных видов возмещения до вступления в силу Федерального закона от 07.07.2003 №118-ФЗ. Исходя из конституционных принципов, </w:t>
      </w:r>
      <w:r w:rsidRPr="003E1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нуждаемости в дополнительном питании и мягком инвентаре должно проводиться в случае сохранения момент освидетельствования медицинских показаний и предоставления пострадавшему указанных видов возмещения до 07.07.2003 года.</w:t>
      </w:r>
    </w:p>
    <w:p w:rsidR="00B13586" w:rsidRPr="00A233CE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время, поддерживается судами обоснованное изменение рекомендаций в ПРП в части назначения технических средств реабилитации, даже при установлении бессрочной нуждаемости и неоднократном предоставлении данных изделий за счёт средств обязательного социального страхования.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судом были поддержаны решения учреждения МСЭ, отменявшие ранее принятые решения по обеспечению пострадавших автотранспортом в связи с тем, что имеющиеся у них заболевания не соответствуют перечню медицинских показаний на получение инвалидами мотоколясок с ручным управлением, утверждённому Министерством здравоохранения СССР 11.08.1970 с учётом Методических рекомендаций по применению данного перечня  (Приложения № 1 и 2 к приказу Министерства социального обеспечения РСФСР от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28.07.1982 №72).</w:t>
      </w:r>
      <w:proofErr w:type="gramEnd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принятия решения служило заключение судебной медико-социальной экспертизы. Также судом установлено, что действующим законодательством возможность обеспечения транспортным средством не ставится в зависимость от предоставления этого обеспечения ранее, при этом положения закона основываются на действительной нуждаемости пострадавшего по медицинским показаниям на момент освидетельствования в соответствующем социальном обеспечении с целью реабилитации. Таким образом</w:t>
      </w:r>
      <w:r w:rsidRPr="003E1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определяющее значение в данном случае имеет наличие оснований для обеспечения транспортным средством именно на момент переосвидетельствования.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13586" w:rsidRPr="00A233CE" w:rsidRDefault="00B13586" w:rsidP="00B13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правоприменительной практики, связанной с обеспечением пострадавших на производстве техническими средствами реабилитации показал, её социальную направленность, связанную с </w:t>
      </w:r>
      <w:r w:rsidRPr="00A23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необходимостью защиты прав пострадавших на наиболее полное страховое возмещение вреда причинённого их здоровью, что полностью согласуется с международными институциональными документами, определяющими общие гуманистические подходы в сфере охраны труда и защиты прав граждан. </w:t>
      </w:r>
      <w:proofErr w:type="gramEnd"/>
    </w:p>
    <w:p w:rsidR="005E68C1" w:rsidRDefault="005E68C1"/>
    <w:p w:rsidR="00B13586" w:rsidRDefault="00B13586"/>
    <w:p w:rsidR="00B13586" w:rsidRPr="00B13586" w:rsidRDefault="00B13586" w:rsidP="00B135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586">
        <w:rPr>
          <w:rFonts w:ascii="Times New Roman" w:hAnsi="Times New Roman" w:cs="Times New Roman"/>
          <w:i/>
          <w:sz w:val="28"/>
          <w:szCs w:val="28"/>
        </w:rPr>
        <w:t>Статья опубликована в Сборнике материалов научно-практической конференции «Современные аспекты МСЭ и реабилитации пострадавшего в результате несчастного случая на производстве и профессионального заболевания» в рамках реализации Государственной программы Российской Федерации «Доступная среда» на 2011-2015 годы». – Москва: Минтруд России, 2014. -82 с. – С.25-28.</w:t>
      </w:r>
    </w:p>
    <w:sectPr w:rsidR="00B13586" w:rsidRPr="00B13586" w:rsidSect="00A46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8A" w:rsidRDefault="0077528A" w:rsidP="00A46295">
      <w:pPr>
        <w:spacing w:after="0" w:line="240" w:lineRule="auto"/>
      </w:pPr>
      <w:r>
        <w:separator/>
      </w:r>
    </w:p>
  </w:endnote>
  <w:endnote w:type="continuationSeparator" w:id="0">
    <w:p w:rsidR="0077528A" w:rsidRDefault="0077528A" w:rsidP="00A4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95" w:rsidRDefault="00A46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95" w:rsidRDefault="00A462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95" w:rsidRDefault="00A46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8A" w:rsidRDefault="0077528A" w:rsidP="00A46295">
      <w:pPr>
        <w:spacing w:after="0" w:line="240" w:lineRule="auto"/>
      </w:pPr>
      <w:r>
        <w:separator/>
      </w:r>
    </w:p>
  </w:footnote>
  <w:footnote w:type="continuationSeparator" w:id="0">
    <w:p w:rsidR="0077528A" w:rsidRDefault="0077528A" w:rsidP="00A4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95" w:rsidRDefault="00A462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95" w:rsidRPr="00A46295" w:rsidRDefault="00A46295" w:rsidP="00A46295">
    <w:pPr>
      <w:pStyle w:val="a3"/>
      <w:jc w:val="center"/>
      <w:rPr>
        <w:rFonts w:ascii="Times New Roman" w:hAnsi="Times New Roman" w:cs="Times New Roman"/>
      </w:rPr>
    </w:pPr>
    <w:r w:rsidRPr="00A46295">
      <w:rPr>
        <w:rFonts w:ascii="Times New Roman" w:hAnsi="Times New Roman" w:cs="Times New Roman"/>
      </w:rPr>
      <w:t>www.invalidnost.com</w:t>
    </w:r>
  </w:p>
  <w:p w:rsidR="00A46295" w:rsidRDefault="00A462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95" w:rsidRDefault="00A462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BCD"/>
    <w:rsid w:val="000360AC"/>
    <w:rsid w:val="000D523E"/>
    <w:rsid w:val="000D5518"/>
    <w:rsid w:val="000E63FA"/>
    <w:rsid w:val="000F1A7D"/>
    <w:rsid w:val="000F39E5"/>
    <w:rsid w:val="0010644C"/>
    <w:rsid w:val="0016380E"/>
    <w:rsid w:val="0017081C"/>
    <w:rsid w:val="00193E9E"/>
    <w:rsid w:val="001F05F7"/>
    <w:rsid w:val="00247338"/>
    <w:rsid w:val="00286079"/>
    <w:rsid w:val="002A447B"/>
    <w:rsid w:val="002C1FFE"/>
    <w:rsid w:val="00311B82"/>
    <w:rsid w:val="003A1F2C"/>
    <w:rsid w:val="003E1709"/>
    <w:rsid w:val="00456B8B"/>
    <w:rsid w:val="004908B3"/>
    <w:rsid w:val="004A2036"/>
    <w:rsid w:val="004B2093"/>
    <w:rsid w:val="004D44F7"/>
    <w:rsid w:val="00573F96"/>
    <w:rsid w:val="005C05CB"/>
    <w:rsid w:val="005E68C1"/>
    <w:rsid w:val="005F50F0"/>
    <w:rsid w:val="00652CFD"/>
    <w:rsid w:val="00657CF9"/>
    <w:rsid w:val="0067749D"/>
    <w:rsid w:val="006A526F"/>
    <w:rsid w:val="00702C02"/>
    <w:rsid w:val="007423FE"/>
    <w:rsid w:val="0077528A"/>
    <w:rsid w:val="00794371"/>
    <w:rsid w:val="00820A92"/>
    <w:rsid w:val="008363FB"/>
    <w:rsid w:val="0085111F"/>
    <w:rsid w:val="00873BD2"/>
    <w:rsid w:val="008F362C"/>
    <w:rsid w:val="00936EA8"/>
    <w:rsid w:val="00975F69"/>
    <w:rsid w:val="009D218C"/>
    <w:rsid w:val="009D750F"/>
    <w:rsid w:val="00A46295"/>
    <w:rsid w:val="00A918E0"/>
    <w:rsid w:val="00B1336F"/>
    <w:rsid w:val="00B13586"/>
    <w:rsid w:val="00B13BCD"/>
    <w:rsid w:val="00B3560D"/>
    <w:rsid w:val="00B60D7E"/>
    <w:rsid w:val="00B833AD"/>
    <w:rsid w:val="00BC686A"/>
    <w:rsid w:val="00C608E1"/>
    <w:rsid w:val="00C873F5"/>
    <w:rsid w:val="00D42681"/>
    <w:rsid w:val="00D76877"/>
    <w:rsid w:val="00DA5528"/>
    <w:rsid w:val="00E56705"/>
    <w:rsid w:val="00E874B5"/>
    <w:rsid w:val="00F81EE7"/>
    <w:rsid w:val="00F96728"/>
    <w:rsid w:val="00FC794E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295"/>
  </w:style>
  <w:style w:type="paragraph" w:styleId="a5">
    <w:name w:val="footer"/>
    <w:basedOn w:val="a"/>
    <w:link w:val="a6"/>
    <w:uiPriority w:val="99"/>
    <w:semiHidden/>
    <w:unhideWhenUsed/>
    <w:rsid w:val="00A4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295"/>
  </w:style>
  <w:style w:type="paragraph" w:styleId="a7">
    <w:name w:val="Balloon Text"/>
    <w:basedOn w:val="a"/>
    <w:link w:val="a8"/>
    <w:uiPriority w:val="99"/>
    <w:semiHidden/>
    <w:unhideWhenUsed/>
    <w:rsid w:val="00A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855FF9931DA9E8282D81758ADA77D6835F20AC3293A6C85A5410CA65556D099BC9E04D5DCAEyEx1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855FF9931DA9E8282D81758ADA77D6E33F004C52167668DFC4D0EA15A09C79EF59205D5DDACE7yEx3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Учёный секретарь</dc:creator>
  <cp:keywords/>
  <dc:description/>
  <cp:lastModifiedBy>Vladimir aka punsh</cp:lastModifiedBy>
  <cp:revision>6</cp:revision>
  <dcterms:created xsi:type="dcterms:W3CDTF">2015-01-14T13:06:00Z</dcterms:created>
  <dcterms:modified xsi:type="dcterms:W3CDTF">2015-01-14T15:19:00Z</dcterms:modified>
</cp:coreProperties>
</file>